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DA4" w:rsidRDefault="00392DA4" w:rsidP="00392DA4">
      <w:pPr>
        <w:spacing w:after="0" w:line="240" w:lineRule="auto"/>
        <w:jc w:val="center"/>
        <w:rPr>
          <w:rFonts w:ascii="Segoe UI" w:eastAsia="Times New Roman" w:hAnsi="Segoe UI" w:cs="Segoe UI"/>
          <w:b/>
          <w:bCs/>
          <w:color w:val="0000FF"/>
          <w:sz w:val="28"/>
          <w:szCs w:val="28"/>
          <w:lang w:eastAsia="es-CO"/>
        </w:rPr>
      </w:pPr>
    </w:p>
    <w:p w:rsidR="00392DA4" w:rsidRDefault="00392DA4" w:rsidP="00392DA4">
      <w:pPr>
        <w:spacing w:after="0" w:line="240" w:lineRule="auto"/>
        <w:jc w:val="center"/>
        <w:rPr>
          <w:rFonts w:ascii="Segoe UI" w:eastAsia="Times New Roman" w:hAnsi="Segoe UI" w:cs="Segoe UI"/>
          <w:b/>
          <w:bCs/>
          <w:color w:val="0000FF"/>
          <w:sz w:val="28"/>
          <w:szCs w:val="28"/>
          <w:lang w:eastAsia="es-CO"/>
        </w:rPr>
      </w:pPr>
    </w:p>
    <w:p w:rsidR="00392DA4" w:rsidRPr="00392DA4" w:rsidRDefault="00392DA4" w:rsidP="00392DA4">
      <w:pPr>
        <w:spacing w:after="0" w:line="240" w:lineRule="auto"/>
        <w:jc w:val="center"/>
        <w:rPr>
          <w:rFonts w:ascii="Arial" w:eastAsia="Times New Roman" w:hAnsi="Arial" w:cs="Arial"/>
          <w:color w:val="000000"/>
          <w:sz w:val="18"/>
          <w:szCs w:val="18"/>
          <w:lang w:eastAsia="es-CO"/>
        </w:rPr>
      </w:pPr>
      <w:bookmarkStart w:id="0" w:name="_GoBack"/>
      <w:bookmarkEnd w:id="0"/>
      <w:r w:rsidRPr="00392DA4">
        <w:rPr>
          <w:rFonts w:ascii="Segoe UI" w:eastAsia="Times New Roman" w:hAnsi="Segoe UI" w:cs="Segoe UI"/>
          <w:b/>
          <w:bCs/>
          <w:color w:val="0000FF"/>
          <w:sz w:val="28"/>
          <w:szCs w:val="28"/>
          <w:lang w:eastAsia="es-CO"/>
        </w:rPr>
        <w:t>RESOLUCIÓN Nº 000001</w:t>
      </w:r>
    </w:p>
    <w:p w:rsidR="00392DA4" w:rsidRPr="00392DA4" w:rsidRDefault="00392DA4" w:rsidP="00392DA4">
      <w:pPr>
        <w:spacing w:after="0" w:line="240" w:lineRule="auto"/>
        <w:jc w:val="center"/>
        <w:rPr>
          <w:rFonts w:ascii="Arial" w:eastAsia="Times New Roman" w:hAnsi="Arial" w:cs="Arial"/>
          <w:color w:val="000000"/>
          <w:sz w:val="18"/>
          <w:szCs w:val="18"/>
          <w:lang w:eastAsia="es-CO"/>
        </w:rPr>
      </w:pPr>
      <w:r w:rsidRPr="00392DA4">
        <w:rPr>
          <w:rFonts w:ascii="Segoe UI" w:eastAsia="Times New Roman" w:hAnsi="Segoe UI" w:cs="Segoe UI"/>
          <w:b/>
          <w:bCs/>
          <w:color w:val="0000FF"/>
          <w:sz w:val="28"/>
          <w:szCs w:val="28"/>
          <w:lang w:eastAsia="es-CO"/>
        </w:rPr>
        <w:t>03-01-2019</w:t>
      </w:r>
    </w:p>
    <w:p w:rsidR="00392DA4" w:rsidRPr="00392DA4" w:rsidRDefault="00392DA4" w:rsidP="00392DA4">
      <w:pPr>
        <w:spacing w:after="0" w:line="240" w:lineRule="auto"/>
        <w:jc w:val="center"/>
        <w:rPr>
          <w:rFonts w:ascii="Arial" w:eastAsia="Times New Roman" w:hAnsi="Arial" w:cs="Arial"/>
          <w:color w:val="000000"/>
          <w:sz w:val="18"/>
          <w:szCs w:val="18"/>
          <w:lang w:eastAsia="es-CO"/>
        </w:rPr>
      </w:pPr>
      <w:r w:rsidRPr="00392DA4">
        <w:rPr>
          <w:rFonts w:ascii="Segoe UI" w:eastAsia="Times New Roman" w:hAnsi="Segoe UI" w:cs="Segoe UI"/>
          <w:b/>
          <w:bCs/>
          <w:color w:val="0000FF"/>
          <w:sz w:val="28"/>
          <w:szCs w:val="28"/>
          <w:lang w:eastAsia="es-CO"/>
        </w:rPr>
        <w:t>DIAN</w:t>
      </w:r>
    </w:p>
    <w:p w:rsidR="00392DA4" w:rsidRPr="00392DA4" w:rsidRDefault="00392DA4" w:rsidP="00392DA4">
      <w:pPr>
        <w:spacing w:after="0" w:line="240" w:lineRule="auto"/>
        <w:jc w:val="center"/>
        <w:rPr>
          <w:rFonts w:ascii="Arial" w:eastAsia="Times New Roman" w:hAnsi="Arial" w:cs="Arial"/>
          <w:color w:val="000000"/>
          <w:sz w:val="18"/>
          <w:szCs w:val="18"/>
          <w:lang w:eastAsia="es-CO"/>
        </w:rPr>
      </w:pPr>
      <w:r w:rsidRPr="00392DA4">
        <w:rPr>
          <w:rFonts w:ascii="Segoe UI" w:eastAsia="Times New Roman" w:hAnsi="Segoe UI" w:cs="Segoe UI"/>
          <w:b/>
          <w:bCs/>
          <w:i/>
          <w:iCs/>
          <w:color w:val="0000FF"/>
          <w:sz w:val="22"/>
          <w:lang w:eastAsia="es-CO"/>
        </w:rPr>
        <w:t> </w:t>
      </w:r>
    </w:p>
    <w:p w:rsidR="00392DA4" w:rsidRPr="00392DA4" w:rsidRDefault="00392DA4" w:rsidP="00392DA4">
      <w:pPr>
        <w:spacing w:after="0" w:line="240" w:lineRule="auto"/>
        <w:jc w:val="center"/>
        <w:rPr>
          <w:rFonts w:ascii="Arial" w:eastAsia="Times New Roman" w:hAnsi="Arial" w:cs="Arial"/>
          <w:color w:val="000000"/>
          <w:sz w:val="18"/>
          <w:szCs w:val="18"/>
          <w:lang w:eastAsia="es-CO"/>
        </w:rPr>
      </w:pPr>
      <w:r w:rsidRPr="00392DA4">
        <w:rPr>
          <w:rFonts w:ascii="Segoe UI" w:eastAsia="Times New Roman" w:hAnsi="Segoe UI" w:cs="Segoe UI"/>
          <w:b/>
          <w:bCs/>
          <w:i/>
          <w:iCs/>
          <w:color w:val="0000FF"/>
          <w:sz w:val="22"/>
          <w:lang w:eastAsia="es-CO"/>
        </w:rPr>
        <w:t> </w:t>
      </w:r>
    </w:p>
    <w:p w:rsidR="00392DA4" w:rsidRPr="00392DA4" w:rsidRDefault="00392DA4" w:rsidP="00392DA4">
      <w:pPr>
        <w:spacing w:after="0" w:line="240" w:lineRule="auto"/>
        <w:jc w:val="center"/>
        <w:rPr>
          <w:rFonts w:ascii="Arial" w:eastAsia="Times New Roman" w:hAnsi="Arial" w:cs="Arial"/>
          <w:color w:val="000000"/>
          <w:sz w:val="18"/>
          <w:szCs w:val="18"/>
          <w:lang w:eastAsia="es-CO"/>
        </w:rPr>
      </w:pPr>
      <w:r w:rsidRPr="00392DA4">
        <w:rPr>
          <w:rFonts w:ascii="Segoe UI" w:eastAsia="Times New Roman" w:hAnsi="Segoe UI" w:cs="Segoe UI"/>
          <w:i/>
          <w:iCs/>
          <w:sz w:val="22"/>
          <w:lang w:eastAsia="es-CO"/>
        </w:rPr>
        <w:t>Mediante la cual se señalan las reglas y validaciones aplicables a la factura electrónica de que trata el </w:t>
      </w:r>
      <w:hyperlink r:id="rId4" w:tooltip="Estatuto Tributario CETA" w:history="1">
        <w:r w:rsidRPr="00392DA4">
          <w:rPr>
            <w:rFonts w:ascii="Segoe UI" w:eastAsia="Times New Roman" w:hAnsi="Segoe UI" w:cs="Segoe UI"/>
            <w:i/>
            <w:iCs/>
            <w:color w:val="0089E1"/>
            <w:sz w:val="22"/>
            <w:u w:val="single"/>
            <w:lang w:eastAsia="es-CO"/>
          </w:rPr>
          <w:t>artículo 616-1</w:t>
        </w:r>
      </w:hyperlink>
      <w:r w:rsidRPr="00392DA4">
        <w:rPr>
          <w:rFonts w:ascii="Segoe UI" w:eastAsia="Times New Roman" w:hAnsi="Segoe UI" w:cs="Segoe UI"/>
          <w:i/>
          <w:iCs/>
          <w:sz w:val="22"/>
          <w:lang w:eastAsia="es-CO"/>
        </w:rPr>
        <w:t> del Estatuto Tributario.</w:t>
      </w:r>
    </w:p>
    <w:p w:rsidR="00392DA4" w:rsidRPr="00392DA4" w:rsidRDefault="00392DA4" w:rsidP="00392DA4">
      <w:pPr>
        <w:spacing w:after="0" w:line="240" w:lineRule="auto"/>
        <w:jc w:val="both"/>
        <w:rPr>
          <w:rFonts w:ascii="Arial" w:eastAsia="Times New Roman" w:hAnsi="Arial" w:cs="Arial"/>
          <w:color w:val="000000"/>
          <w:sz w:val="18"/>
          <w:szCs w:val="18"/>
          <w:lang w:eastAsia="es-CO"/>
        </w:rPr>
      </w:pPr>
      <w:r w:rsidRPr="00392DA4">
        <w:rPr>
          <w:rFonts w:ascii="Segoe UI" w:eastAsia="Times New Roman" w:hAnsi="Segoe UI" w:cs="Segoe UI"/>
          <w:color w:val="000000"/>
          <w:sz w:val="22"/>
          <w:lang w:eastAsia="es-CO"/>
        </w:rPr>
        <w:t> </w:t>
      </w:r>
    </w:p>
    <w:p w:rsidR="00392DA4" w:rsidRPr="00392DA4" w:rsidRDefault="00392DA4" w:rsidP="00392DA4">
      <w:pPr>
        <w:spacing w:after="0" w:line="240" w:lineRule="auto"/>
        <w:jc w:val="both"/>
        <w:rPr>
          <w:rFonts w:ascii="Arial" w:eastAsia="Times New Roman" w:hAnsi="Arial" w:cs="Arial"/>
          <w:color w:val="000000"/>
          <w:sz w:val="18"/>
          <w:szCs w:val="18"/>
          <w:lang w:eastAsia="es-CO"/>
        </w:rPr>
      </w:pPr>
      <w:r w:rsidRPr="00392DA4">
        <w:rPr>
          <w:rFonts w:ascii="Segoe UI" w:eastAsia="Times New Roman" w:hAnsi="Segoe UI" w:cs="Segoe UI"/>
          <w:color w:val="000000"/>
          <w:sz w:val="22"/>
          <w:lang w:eastAsia="es-CO"/>
        </w:rPr>
        <w:t> </w:t>
      </w:r>
    </w:p>
    <w:p w:rsidR="00392DA4" w:rsidRPr="00392DA4" w:rsidRDefault="00392DA4" w:rsidP="00392DA4">
      <w:pPr>
        <w:spacing w:after="0" w:line="240" w:lineRule="auto"/>
        <w:jc w:val="both"/>
        <w:rPr>
          <w:rFonts w:ascii="Arial" w:eastAsia="Times New Roman" w:hAnsi="Arial" w:cs="Arial"/>
          <w:color w:val="000000"/>
          <w:sz w:val="18"/>
          <w:szCs w:val="18"/>
          <w:lang w:eastAsia="es-CO"/>
        </w:rPr>
      </w:pPr>
      <w:r w:rsidRPr="00392DA4">
        <w:rPr>
          <w:rFonts w:ascii="Segoe UI" w:eastAsia="Times New Roman" w:hAnsi="Segoe UI" w:cs="Segoe UI"/>
          <w:color w:val="000000"/>
          <w:sz w:val="22"/>
          <w:lang w:eastAsia="es-CO"/>
        </w:rPr>
        <w:t>El Director General de la Unidad Administrativa Especial Dirección de Impuestos y Aduanas Nacionales, en uso de las facultades legales y en especial las consagradas en el artículo 6° numerales 7 y 12 del Decreto 4048 de 2008, los artículos </w:t>
      </w:r>
      <w:hyperlink r:id="rId5" w:tooltip="Estatuto Tributario CETA" w:history="1">
        <w:r w:rsidRPr="00392DA4">
          <w:rPr>
            <w:rFonts w:ascii="Segoe UI" w:eastAsia="Times New Roman" w:hAnsi="Segoe UI" w:cs="Segoe UI"/>
            <w:color w:val="0089E1"/>
            <w:sz w:val="22"/>
            <w:u w:val="single"/>
            <w:lang w:eastAsia="es-CO"/>
          </w:rPr>
          <w:t>616-1</w:t>
        </w:r>
      </w:hyperlink>
      <w:r w:rsidRPr="00392DA4">
        <w:rPr>
          <w:rFonts w:ascii="Segoe UI" w:eastAsia="Times New Roman" w:hAnsi="Segoe UI" w:cs="Segoe UI"/>
          <w:color w:val="000000"/>
          <w:sz w:val="22"/>
          <w:lang w:eastAsia="es-CO"/>
        </w:rPr>
        <w:t> y </w:t>
      </w:r>
      <w:hyperlink r:id="rId6" w:tooltip="Estatuto Tributario CETA" w:history="1">
        <w:r w:rsidRPr="00392DA4">
          <w:rPr>
            <w:rFonts w:ascii="Segoe UI" w:eastAsia="Times New Roman" w:hAnsi="Segoe UI" w:cs="Segoe UI"/>
            <w:color w:val="0089E1"/>
            <w:sz w:val="22"/>
            <w:u w:val="single"/>
            <w:lang w:eastAsia="es-CO"/>
          </w:rPr>
          <w:t>684-2</w:t>
        </w:r>
      </w:hyperlink>
      <w:r w:rsidRPr="00392DA4">
        <w:rPr>
          <w:rFonts w:ascii="Segoe UI" w:eastAsia="Times New Roman" w:hAnsi="Segoe UI" w:cs="Segoe UI"/>
          <w:color w:val="000000"/>
          <w:sz w:val="22"/>
          <w:lang w:eastAsia="es-CO"/>
        </w:rPr>
        <w:t> del Estatuto Tributario.</w:t>
      </w:r>
    </w:p>
    <w:p w:rsidR="00392DA4" w:rsidRPr="00392DA4" w:rsidRDefault="00392DA4" w:rsidP="00392DA4">
      <w:pPr>
        <w:spacing w:after="0" w:line="240" w:lineRule="auto"/>
        <w:jc w:val="center"/>
        <w:rPr>
          <w:rFonts w:ascii="Arial" w:eastAsia="Times New Roman" w:hAnsi="Arial" w:cs="Arial"/>
          <w:color w:val="000000"/>
          <w:sz w:val="18"/>
          <w:szCs w:val="18"/>
          <w:lang w:eastAsia="es-CO"/>
        </w:rPr>
      </w:pPr>
      <w:r w:rsidRPr="00392DA4">
        <w:rPr>
          <w:rFonts w:ascii="Segoe UI" w:eastAsia="Times New Roman" w:hAnsi="Segoe UI" w:cs="Segoe UI"/>
          <w:color w:val="000000"/>
          <w:sz w:val="22"/>
          <w:lang w:eastAsia="es-CO"/>
        </w:rPr>
        <w:t> </w:t>
      </w:r>
    </w:p>
    <w:p w:rsidR="00392DA4" w:rsidRPr="00392DA4" w:rsidRDefault="00392DA4" w:rsidP="00392DA4">
      <w:pPr>
        <w:spacing w:after="0" w:line="240" w:lineRule="auto"/>
        <w:jc w:val="center"/>
        <w:rPr>
          <w:rFonts w:ascii="Arial" w:eastAsia="Times New Roman" w:hAnsi="Arial" w:cs="Arial"/>
          <w:color w:val="000000"/>
          <w:sz w:val="18"/>
          <w:szCs w:val="18"/>
          <w:lang w:eastAsia="es-CO"/>
        </w:rPr>
      </w:pPr>
      <w:r w:rsidRPr="00392DA4">
        <w:rPr>
          <w:rFonts w:ascii="Segoe UI" w:eastAsia="Times New Roman" w:hAnsi="Segoe UI" w:cs="Segoe UI"/>
          <w:color w:val="000000"/>
          <w:sz w:val="22"/>
          <w:lang w:eastAsia="es-CO"/>
        </w:rPr>
        <w:t> </w:t>
      </w:r>
    </w:p>
    <w:p w:rsidR="00392DA4" w:rsidRPr="00392DA4" w:rsidRDefault="00392DA4" w:rsidP="00392DA4">
      <w:pPr>
        <w:spacing w:after="0" w:line="240" w:lineRule="auto"/>
        <w:jc w:val="center"/>
        <w:rPr>
          <w:rFonts w:ascii="Arial" w:eastAsia="Times New Roman" w:hAnsi="Arial" w:cs="Arial"/>
          <w:color w:val="000000"/>
          <w:sz w:val="18"/>
          <w:szCs w:val="18"/>
          <w:lang w:eastAsia="es-CO"/>
        </w:rPr>
      </w:pPr>
      <w:r w:rsidRPr="00392DA4">
        <w:rPr>
          <w:rFonts w:ascii="Segoe UI" w:eastAsia="Times New Roman" w:hAnsi="Segoe UI" w:cs="Segoe UI"/>
          <w:b/>
          <w:bCs/>
          <w:color w:val="000000"/>
          <w:sz w:val="22"/>
          <w:lang w:eastAsia="es-CO"/>
        </w:rPr>
        <w:t>CONSIDERANDO:</w:t>
      </w:r>
    </w:p>
    <w:p w:rsidR="00392DA4" w:rsidRPr="00392DA4" w:rsidRDefault="00392DA4" w:rsidP="00392DA4">
      <w:pPr>
        <w:spacing w:after="0" w:line="240" w:lineRule="auto"/>
        <w:jc w:val="both"/>
        <w:rPr>
          <w:rFonts w:ascii="Arial" w:eastAsia="Times New Roman" w:hAnsi="Arial" w:cs="Arial"/>
          <w:color w:val="000000"/>
          <w:sz w:val="18"/>
          <w:szCs w:val="18"/>
          <w:lang w:eastAsia="es-CO"/>
        </w:rPr>
      </w:pPr>
      <w:r w:rsidRPr="00392DA4">
        <w:rPr>
          <w:rFonts w:ascii="Segoe UI" w:eastAsia="Times New Roman" w:hAnsi="Segoe UI" w:cs="Segoe UI"/>
          <w:b/>
          <w:bCs/>
          <w:color w:val="000000"/>
          <w:sz w:val="22"/>
          <w:lang w:eastAsia="es-CO"/>
        </w:rPr>
        <w:t> </w:t>
      </w:r>
    </w:p>
    <w:p w:rsidR="00392DA4" w:rsidRPr="00392DA4" w:rsidRDefault="00392DA4" w:rsidP="00392DA4">
      <w:pPr>
        <w:spacing w:after="0" w:line="240" w:lineRule="auto"/>
        <w:jc w:val="both"/>
        <w:rPr>
          <w:rFonts w:ascii="Arial" w:eastAsia="Times New Roman" w:hAnsi="Arial" w:cs="Arial"/>
          <w:color w:val="000000"/>
          <w:sz w:val="18"/>
          <w:szCs w:val="18"/>
          <w:lang w:eastAsia="es-CO"/>
        </w:rPr>
      </w:pPr>
      <w:r w:rsidRPr="00392DA4">
        <w:rPr>
          <w:rFonts w:ascii="Segoe UI" w:eastAsia="Times New Roman" w:hAnsi="Segoe UI" w:cs="Segoe UI"/>
          <w:color w:val="000000"/>
          <w:sz w:val="22"/>
          <w:lang w:eastAsia="es-CO"/>
        </w:rPr>
        <w:t>Que de conformidad con el artículo 26 de la Ley 962 de 2005 la factura electrónica podrá expedirse, aceptarse, archivarse y en general llevarse usando cualquier tipo de tecnología disponible, siempre y cuando se cumplan todos los requisitos legales establecidos y la respectiva tecnología que garantice su autenticidad e integridad desde su expedición y durante todo el tiempo de conservación, aplicando así el principio de neutralidad tecnológica.</w:t>
      </w:r>
    </w:p>
    <w:p w:rsidR="00392DA4" w:rsidRPr="00392DA4" w:rsidRDefault="00392DA4" w:rsidP="00392DA4">
      <w:pPr>
        <w:spacing w:after="0" w:line="240" w:lineRule="auto"/>
        <w:jc w:val="both"/>
        <w:rPr>
          <w:rFonts w:ascii="Arial" w:eastAsia="Times New Roman" w:hAnsi="Arial" w:cs="Arial"/>
          <w:color w:val="000000"/>
          <w:sz w:val="18"/>
          <w:szCs w:val="18"/>
          <w:lang w:eastAsia="es-CO"/>
        </w:rPr>
      </w:pPr>
      <w:r w:rsidRPr="00392DA4">
        <w:rPr>
          <w:rFonts w:ascii="Segoe UI" w:eastAsia="Times New Roman" w:hAnsi="Segoe UI" w:cs="Segoe UI"/>
          <w:color w:val="000000"/>
          <w:sz w:val="22"/>
          <w:lang w:eastAsia="es-CO"/>
        </w:rPr>
        <w:t> </w:t>
      </w:r>
    </w:p>
    <w:p w:rsidR="00392DA4" w:rsidRPr="00392DA4" w:rsidRDefault="00392DA4" w:rsidP="00392DA4">
      <w:pPr>
        <w:spacing w:after="0" w:line="240" w:lineRule="auto"/>
        <w:jc w:val="both"/>
        <w:rPr>
          <w:rFonts w:ascii="Arial" w:eastAsia="Times New Roman" w:hAnsi="Arial" w:cs="Arial"/>
          <w:color w:val="000000"/>
          <w:sz w:val="18"/>
          <w:szCs w:val="18"/>
          <w:lang w:eastAsia="es-CO"/>
        </w:rPr>
      </w:pPr>
      <w:r w:rsidRPr="00392DA4">
        <w:rPr>
          <w:rFonts w:ascii="Segoe UI" w:eastAsia="Times New Roman" w:hAnsi="Segoe UI" w:cs="Segoe UI"/>
          <w:color w:val="000000"/>
          <w:sz w:val="22"/>
          <w:lang w:eastAsia="es-CO"/>
        </w:rPr>
        <w:t>Que el </w:t>
      </w:r>
      <w:hyperlink r:id="rId7" w:tooltip="Estatuto Tributario CETA" w:history="1">
        <w:r w:rsidRPr="00392DA4">
          <w:rPr>
            <w:rFonts w:ascii="Segoe UI" w:eastAsia="Times New Roman" w:hAnsi="Segoe UI" w:cs="Segoe UI"/>
            <w:color w:val="0089E1"/>
            <w:sz w:val="22"/>
            <w:u w:val="single"/>
            <w:lang w:eastAsia="es-CO"/>
          </w:rPr>
          <w:t>artículo 684-2</w:t>
        </w:r>
      </w:hyperlink>
      <w:r w:rsidRPr="00392DA4">
        <w:rPr>
          <w:rFonts w:ascii="Segoe UI" w:eastAsia="Times New Roman" w:hAnsi="Segoe UI" w:cs="Segoe UI"/>
          <w:color w:val="000000"/>
          <w:sz w:val="22"/>
          <w:lang w:eastAsia="es-CO"/>
        </w:rPr>
        <w:t> del Estatuto Tributario señala que la Unidad Administrativa Especial Dirección de Impuestos y Aduanas Nacionales (DIAN) podrá prescribir que determinados contribuyentes o sectores, previa consideración de su capacidad económica, adopten sistemas técnicos razonables para el control de su actividad productora de renta, o implantar directamente los mismos, los cuales le servirán de base para la determinación de sus obligaciones tributarias.</w:t>
      </w:r>
    </w:p>
    <w:p w:rsidR="00392DA4" w:rsidRPr="00392DA4" w:rsidRDefault="00392DA4" w:rsidP="00392DA4">
      <w:pPr>
        <w:spacing w:after="0" w:line="240" w:lineRule="auto"/>
        <w:jc w:val="both"/>
        <w:rPr>
          <w:rFonts w:ascii="Arial" w:eastAsia="Times New Roman" w:hAnsi="Arial" w:cs="Arial"/>
          <w:color w:val="000000"/>
          <w:sz w:val="18"/>
          <w:szCs w:val="18"/>
          <w:lang w:eastAsia="es-CO"/>
        </w:rPr>
      </w:pPr>
      <w:r w:rsidRPr="00392DA4">
        <w:rPr>
          <w:rFonts w:ascii="Segoe UI" w:eastAsia="Times New Roman" w:hAnsi="Segoe UI" w:cs="Segoe UI"/>
          <w:color w:val="000000"/>
          <w:sz w:val="22"/>
          <w:lang w:eastAsia="es-CO"/>
        </w:rPr>
        <w:t> </w:t>
      </w:r>
    </w:p>
    <w:p w:rsidR="00392DA4" w:rsidRPr="00392DA4" w:rsidRDefault="00392DA4" w:rsidP="00392DA4">
      <w:pPr>
        <w:spacing w:after="0" w:line="240" w:lineRule="auto"/>
        <w:jc w:val="both"/>
        <w:rPr>
          <w:rFonts w:ascii="Arial" w:eastAsia="Times New Roman" w:hAnsi="Arial" w:cs="Arial"/>
          <w:color w:val="000000"/>
          <w:sz w:val="18"/>
          <w:szCs w:val="18"/>
          <w:lang w:eastAsia="es-CO"/>
        </w:rPr>
      </w:pPr>
      <w:r w:rsidRPr="00392DA4">
        <w:rPr>
          <w:rFonts w:ascii="Segoe UI" w:eastAsia="Times New Roman" w:hAnsi="Segoe UI" w:cs="Segoe UI"/>
          <w:color w:val="000000"/>
          <w:sz w:val="22"/>
          <w:lang w:eastAsia="es-CO"/>
        </w:rPr>
        <w:t>Que el parágrafo 1° del </w:t>
      </w:r>
      <w:hyperlink r:id="rId8" w:tooltip="Estatuto Tributario CETA" w:history="1">
        <w:r w:rsidRPr="00392DA4">
          <w:rPr>
            <w:rFonts w:ascii="Segoe UI" w:eastAsia="Times New Roman" w:hAnsi="Segoe UI" w:cs="Segoe UI"/>
            <w:color w:val="0089E1"/>
            <w:sz w:val="22"/>
            <w:u w:val="single"/>
            <w:lang w:eastAsia="es-CO"/>
          </w:rPr>
          <w:t>artículo 616-1</w:t>
        </w:r>
      </w:hyperlink>
      <w:r w:rsidRPr="00392DA4">
        <w:rPr>
          <w:rFonts w:ascii="Segoe UI" w:eastAsia="Times New Roman" w:hAnsi="Segoe UI" w:cs="Segoe UI"/>
          <w:color w:val="000000"/>
          <w:sz w:val="22"/>
          <w:lang w:eastAsia="es-CO"/>
        </w:rPr>
        <w:t> del Estatuto tributario señala que </w:t>
      </w:r>
      <w:r w:rsidRPr="00392DA4">
        <w:rPr>
          <w:rFonts w:ascii="Segoe UI" w:eastAsia="Times New Roman" w:hAnsi="Segoe UI" w:cs="Segoe UI"/>
          <w:i/>
          <w:iCs/>
          <w:color w:val="000000"/>
          <w:sz w:val="22"/>
          <w:lang w:eastAsia="es-CO"/>
        </w:rPr>
        <w:t>“Todas las facturas electrónicas para su reconocimiento tributario deberán ser validadas previo a su expedición, por la Dirección de Impuestos y Aduanas Nacionales (…)”.</w:t>
      </w:r>
    </w:p>
    <w:p w:rsidR="00392DA4" w:rsidRPr="00392DA4" w:rsidRDefault="00392DA4" w:rsidP="00392DA4">
      <w:pPr>
        <w:spacing w:after="0" w:line="240" w:lineRule="auto"/>
        <w:jc w:val="both"/>
        <w:rPr>
          <w:rFonts w:ascii="Arial" w:eastAsia="Times New Roman" w:hAnsi="Arial" w:cs="Arial"/>
          <w:color w:val="000000"/>
          <w:sz w:val="18"/>
          <w:szCs w:val="18"/>
          <w:lang w:eastAsia="es-CO"/>
        </w:rPr>
      </w:pPr>
      <w:r w:rsidRPr="00392DA4">
        <w:rPr>
          <w:rFonts w:ascii="Segoe UI" w:eastAsia="Times New Roman" w:hAnsi="Segoe UI" w:cs="Segoe UI"/>
          <w:color w:val="000000"/>
          <w:sz w:val="22"/>
          <w:lang w:eastAsia="es-CO"/>
        </w:rPr>
        <w:t> </w:t>
      </w:r>
    </w:p>
    <w:p w:rsidR="00392DA4" w:rsidRPr="00392DA4" w:rsidRDefault="00392DA4" w:rsidP="00392DA4">
      <w:pPr>
        <w:spacing w:after="0" w:line="240" w:lineRule="auto"/>
        <w:jc w:val="both"/>
        <w:rPr>
          <w:rFonts w:ascii="Arial" w:eastAsia="Times New Roman" w:hAnsi="Arial" w:cs="Arial"/>
          <w:color w:val="000000"/>
          <w:sz w:val="18"/>
          <w:szCs w:val="18"/>
          <w:lang w:eastAsia="es-CO"/>
        </w:rPr>
      </w:pPr>
      <w:r w:rsidRPr="00392DA4">
        <w:rPr>
          <w:rFonts w:ascii="Segoe UI" w:eastAsia="Times New Roman" w:hAnsi="Segoe UI" w:cs="Segoe UI"/>
          <w:color w:val="000000"/>
          <w:sz w:val="22"/>
          <w:lang w:eastAsia="es-CO"/>
        </w:rPr>
        <w:t>Que el parágrafo 2° del </w:t>
      </w:r>
      <w:hyperlink r:id="rId9" w:tooltip="Estatuto Tributario CETA" w:history="1">
        <w:r w:rsidRPr="00392DA4">
          <w:rPr>
            <w:rFonts w:ascii="Segoe UI" w:eastAsia="Times New Roman" w:hAnsi="Segoe UI" w:cs="Segoe UI"/>
            <w:color w:val="0089E1"/>
            <w:sz w:val="22"/>
            <w:u w:val="single"/>
            <w:lang w:eastAsia="es-CO"/>
          </w:rPr>
          <w:t>artículo 616-1</w:t>
        </w:r>
      </w:hyperlink>
      <w:r w:rsidRPr="00392DA4">
        <w:rPr>
          <w:rFonts w:ascii="Segoe UI" w:eastAsia="Times New Roman" w:hAnsi="Segoe UI" w:cs="Segoe UI"/>
          <w:color w:val="000000"/>
          <w:sz w:val="22"/>
          <w:lang w:eastAsia="es-CO"/>
        </w:rPr>
        <w:t> del Estatuto Tributario confiere facultades a la Unidad Administrativa Especial Dirección de Impuestos y Aduanas Nacionales (DIAN) para </w:t>
      </w:r>
      <w:r w:rsidRPr="00392DA4">
        <w:rPr>
          <w:rFonts w:ascii="Segoe UI" w:eastAsia="Times New Roman" w:hAnsi="Segoe UI" w:cs="Segoe UI"/>
          <w:i/>
          <w:iCs/>
          <w:color w:val="000000"/>
          <w:sz w:val="22"/>
          <w:lang w:eastAsia="es-CO"/>
        </w:rPr>
        <w:t xml:space="preserve">“(…) establecer las condiciones, los términos y los mecanismos técnicos y tecnológicos para la generación, numeración, validación, expedición, entrega al adquirente y la transmisión de la factura o documento equivalente, así como la información a suministrar relacionada con las especificaciones técnicas y el acceso al software que se implemente, la información que el </w:t>
      </w:r>
      <w:r w:rsidRPr="00392DA4">
        <w:rPr>
          <w:rFonts w:ascii="Segoe UI" w:eastAsia="Times New Roman" w:hAnsi="Segoe UI" w:cs="Segoe UI"/>
          <w:i/>
          <w:iCs/>
          <w:color w:val="000000"/>
          <w:sz w:val="22"/>
          <w:lang w:eastAsia="es-CO"/>
        </w:rPr>
        <w:lastRenderedPageBreak/>
        <w:t>mismo contenga y genere y la interacción de los sistemas de facturación con los inventarios, los sistemas de pago, el IVA, el impuesto nacional al consumo, la retención en la fuente que se haya practicado y en general con la contabilidad y la información tributaria que legalmente sea exigida”. (…)</w:t>
      </w:r>
    </w:p>
    <w:p w:rsidR="00392DA4" w:rsidRPr="00392DA4" w:rsidRDefault="00392DA4" w:rsidP="00392DA4">
      <w:pPr>
        <w:spacing w:after="0" w:line="240" w:lineRule="auto"/>
        <w:jc w:val="both"/>
        <w:rPr>
          <w:rFonts w:ascii="Arial" w:eastAsia="Times New Roman" w:hAnsi="Arial" w:cs="Arial"/>
          <w:color w:val="000000"/>
          <w:sz w:val="18"/>
          <w:szCs w:val="18"/>
          <w:lang w:eastAsia="es-CO"/>
        </w:rPr>
      </w:pPr>
      <w:r w:rsidRPr="00392DA4">
        <w:rPr>
          <w:rFonts w:ascii="Segoe UI" w:eastAsia="Times New Roman" w:hAnsi="Segoe UI" w:cs="Segoe UI"/>
          <w:color w:val="000000"/>
          <w:sz w:val="22"/>
          <w:lang w:eastAsia="es-CO"/>
        </w:rPr>
        <w:t> </w:t>
      </w:r>
    </w:p>
    <w:p w:rsidR="00392DA4" w:rsidRPr="00392DA4" w:rsidRDefault="00392DA4" w:rsidP="00392DA4">
      <w:pPr>
        <w:spacing w:after="0" w:line="240" w:lineRule="auto"/>
        <w:jc w:val="both"/>
        <w:rPr>
          <w:rFonts w:ascii="Arial" w:eastAsia="Times New Roman" w:hAnsi="Arial" w:cs="Arial"/>
          <w:color w:val="000000"/>
          <w:sz w:val="18"/>
          <w:szCs w:val="18"/>
          <w:lang w:eastAsia="es-CO"/>
        </w:rPr>
      </w:pPr>
      <w:r w:rsidRPr="00392DA4">
        <w:rPr>
          <w:rFonts w:ascii="Segoe UI" w:eastAsia="Times New Roman" w:hAnsi="Segoe UI" w:cs="Segoe UI"/>
          <w:color w:val="000000"/>
          <w:sz w:val="22"/>
          <w:lang w:eastAsia="es-CO"/>
        </w:rPr>
        <w:t>Que el parágrafo transitorio 1° del </w:t>
      </w:r>
      <w:hyperlink r:id="rId10" w:tooltip="Estatuto Tributario CETA" w:history="1">
        <w:r w:rsidRPr="00392DA4">
          <w:rPr>
            <w:rFonts w:ascii="Segoe UI" w:eastAsia="Times New Roman" w:hAnsi="Segoe UI" w:cs="Segoe UI"/>
            <w:color w:val="0089E1"/>
            <w:sz w:val="22"/>
            <w:u w:val="single"/>
            <w:lang w:eastAsia="es-CO"/>
          </w:rPr>
          <w:t>artículo 616-1</w:t>
        </w:r>
      </w:hyperlink>
      <w:r w:rsidRPr="00392DA4">
        <w:rPr>
          <w:rFonts w:ascii="Segoe UI" w:eastAsia="Times New Roman" w:hAnsi="Segoe UI" w:cs="Segoe UI"/>
          <w:color w:val="000000"/>
          <w:sz w:val="22"/>
          <w:lang w:eastAsia="es-CO"/>
        </w:rPr>
        <w:t> del Estatuto Tributario indica respecto de los requisitos, condiciones y procedimientos establecidos en dicho artículo, que los mismos serán reglamentados por el Gobierno Nacional; entre tanto aplicarán las disposiciones que regulan la materia antes de la entrada en vigencia de la presente ley.</w:t>
      </w:r>
    </w:p>
    <w:p w:rsidR="00392DA4" w:rsidRPr="00392DA4" w:rsidRDefault="00392DA4" w:rsidP="00392DA4">
      <w:pPr>
        <w:spacing w:after="0" w:line="240" w:lineRule="auto"/>
        <w:jc w:val="both"/>
        <w:rPr>
          <w:rFonts w:ascii="Arial" w:eastAsia="Times New Roman" w:hAnsi="Arial" w:cs="Arial"/>
          <w:color w:val="000000"/>
          <w:sz w:val="18"/>
          <w:szCs w:val="18"/>
          <w:lang w:eastAsia="es-CO"/>
        </w:rPr>
      </w:pPr>
      <w:r w:rsidRPr="00392DA4">
        <w:rPr>
          <w:rFonts w:ascii="Segoe UI" w:eastAsia="Times New Roman" w:hAnsi="Segoe UI" w:cs="Segoe UI"/>
          <w:color w:val="000000"/>
          <w:sz w:val="22"/>
          <w:lang w:eastAsia="es-CO"/>
        </w:rPr>
        <w:t> </w:t>
      </w:r>
    </w:p>
    <w:p w:rsidR="00392DA4" w:rsidRPr="00392DA4" w:rsidRDefault="00392DA4" w:rsidP="00392DA4">
      <w:pPr>
        <w:spacing w:after="0" w:line="240" w:lineRule="auto"/>
        <w:jc w:val="both"/>
        <w:rPr>
          <w:rFonts w:ascii="Arial" w:eastAsia="Times New Roman" w:hAnsi="Arial" w:cs="Arial"/>
          <w:color w:val="000000"/>
          <w:sz w:val="18"/>
          <w:szCs w:val="18"/>
          <w:lang w:eastAsia="es-CO"/>
        </w:rPr>
      </w:pPr>
      <w:r w:rsidRPr="00392DA4">
        <w:rPr>
          <w:rFonts w:ascii="Segoe UI" w:eastAsia="Times New Roman" w:hAnsi="Segoe UI" w:cs="Segoe UI"/>
          <w:color w:val="000000"/>
          <w:sz w:val="22"/>
          <w:lang w:eastAsia="es-CO"/>
        </w:rPr>
        <w:t>Que se hace necesario adoptar el Anexo Técnico </w:t>
      </w:r>
      <w:r w:rsidRPr="00392DA4">
        <w:rPr>
          <w:rFonts w:ascii="Segoe UI" w:eastAsia="Times New Roman" w:hAnsi="Segoe UI" w:cs="Segoe UI"/>
          <w:i/>
          <w:iCs/>
          <w:color w:val="000000"/>
          <w:sz w:val="22"/>
          <w:lang w:eastAsia="es-CO"/>
        </w:rPr>
        <w:t>“Estructura UBL y Validaciones Factura Electrónica 2.1” </w:t>
      </w:r>
      <w:r w:rsidRPr="00392DA4">
        <w:rPr>
          <w:rFonts w:ascii="Segoe UI" w:eastAsia="Times New Roman" w:hAnsi="Segoe UI" w:cs="Segoe UI"/>
          <w:color w:val="000000"/>
          <w:sz w:val="22"/>
          <w:lang w:eastAsia="es-CO"/>
        </w:rPr>
        <w:t>en orden a aumentar las validaciones que realiza la Unidad Administrativa Especial Dirección de Impuestos y Aduanas Nacionales (DIAN) sobre el ejemplar de la factura electrónica que los contribuyentes envían por cada operación, con miras a que una vez se implemente la validación previa de que trata el </w:t>
      </w:r>
      <w:hyperlink r:id="rId11" w:tooltip="Estatuto Tributario CETA" w:history="1">
        <w:r w:rsidRPr="00392DA4">
          <w:rPr>
            <w:rFonts w:ascii="Segoe UI" w:eastAsia="Times New Roman" w:hAnsi="Segoe UI" w:cs="Segoe UI"/>
            <w:color w:val="0089E1"/>
            <w:sz w:val="22"/>
            <w:u w:val="single"/>
            <w:lang w:eastAsia="es-CO"/>
          </w:rPr>
          <w:t>artículo 616-1</w:t>
        </w:r>
      </w:hyperlink>
      <w:r w:rsidRPr="00392DA4">
        <w:rPr>
          <w:rFonts w:ascii="Segoe UI" w:eastAsia="Times New Roman" w:hAnsi="Segoe UI" w:cs="Segoe UI"/>
          <w:color w:val="000000"/>
          <w:sz w:val="22"/>
          <w:lang w:eastAsia="es-CO"/>
        </w:rPr>
        <w:t> del Estatuto Tributario de manera obligatoria, la Administración cuente con una malla de validaciones adecuada y consistente que coadyuve al mejoramiento del análisis y control de los datos allí contenidos.</w:t>
      </w:r>
    </w:p>
    <w:p w:rsidR="00392DA4" w:rsidRPr="00392DA4" w:rsidRDefault="00392DA4" w:rsidP="00392DA4">
      <w:pPr>
        <w:spacing w:after="0" w:line="240" w:lineRule="auto"/>
        <w:jc w:val="both"/>
        <w:rPr>
          <w:rFonts w:ascii="Arial" w:eastAsia="Times New Roman" w:hAnsi="Arial" w:cs="Arial"/>
          <w:color w:val="000000"/>
          <w:sz w:val="18"/>
          <w:szCs w:val="18"/>
          <w:lang w:eastAsia="es-CO"/>
        </w:rPr>
      </w:pPr>
      <w:r w:rsidRPr="00392DA4">
        <w:rPr>
          <w:rFonts w:ascii="Segoe UI" w:eastAsia="Times New Roman" w:hAnsi="Segoe UI" w:cs="Segoe UI"/>
          <w:color w:val="000000"/>
          <w:sz w:val="22"/>
          <w:lang w:eastAsia="es-CO"/>
        </w:rPr>
        <w:t> </w:t>
      </w:r>
    </w:p>
    <w:p w:rsidR="00392DA4" w:rsidRPr="00392DA4" w:rsidRDefault="00392DA4" w:rsidP="00392DA4">
      <w:pPr>
        <w:spacing w:after="0" w:line="240" w:lineRule="auto"/>
        <w:jc w:val="both"/>
        <w:rPr>
          <w:rFonts w:ascii="Arial" w:eastAsia="Times New Roman" w:hAnsi="Arial" w:cs="Arial"/>
          <w:color w:val="000000"/>
          <w:sz w:val="18"/>
          <w:szCs w:val="18"/>
          <w:lang w:eastAsia="es-CO"/>
        </w:rPr>
      </w:pPr>
      <w:r w:rsidRPr="00392DA4">
        <w:rPr>
          <w:rFonts w:ascii="Segoe UI" w:eastAsia="Times New Roman" w:hAnsi="Segoe UI" w:cs="Segoe UI"/>
          <w:color w:val="000000"/>
          <w:sz w:val="22"/>
          <w:lang w:eastAsia="es-CO"/>
        </w:rPr>
        <w:t>Que, en consideración al carácter tecnológico de esta resolución, teniendo en cuenta que la factura electrónica con validación previa se encuentra en proceso de implementación, se hace necesario informar sobre los requisitos técnicos que a la fecha se han determinado por los proveedores de la plataforma del sistema.</w:t>
      </w:r>
    </w:p>
    <w:p w:rsidR="00392DA4" w:rsidRPr="00392DA4" w:rsidRDefault="00392DA4" w:rsidP="00392DA4">
      <w:pPr>
        <w:spacing w:after="0" w:line="240" w:lineRule="auto"/>
        <w:jc w:val="both"/>
        <w:rPr>
          <w:rFonts w:ascii="Arial" w:eastAsia="Times New Roman" w:hAnsi="Arial" w:cs="Arial"/>
          <w:color w:val="000000"/>
          <w:sz w:val="18"/>
          <w:szCs w:val="18"/>
          <w:lang w:eastAsia="es-CO"/>
        </w:rPr>
      </w:pPr>
      <w:r w:rsidRPr="00392DA4">
        <w:rPr>
          <w:rFonts w:ascii="Segoe UI" w:eastAsia="Times New Roman" w:hAnsi="Segoe UI" w:cs="Segoe UI"/>
          <w:color w:val="000000"/>
          <w:sz w:val="22"/>
          <w:lang w:eastAsia="es-CO"/>
        </w:rPr>
        <w:t> </w:t>
      </w:r>
    </w:p>
    <w:p w:rsidR="00392DA4" w:rsidRPr="00392DA4" w:rsidRDefault="00392DA4" w:rsidP="00392DA4">
      <w:pPr>
        <w:spacing w:after="0" w:line="240" w:lineRule="auto"/>
        <w:jc w:val="both"/>
        <w:rPr>
          <w:rFonts w:ascii="Arial" w:eastAsia="Times New Roman" w:hAnsi="Arial" w:cs="Arial"/>
          <w:color w:val="000000"/>
          <w:sz w:val="18"/>
          <w:szCs w:val="18"/>
          <w:lang w:eastAsia="es-CO"/>
        </w:rPr>
      </w:pPr>
      <w:r w:rsidRPr="00392DA4">
        <w:rPr>
          <w:rFonts w:ascii="Segoe UI" w:eastAsia="Times New Roman" w:hAnsi="Segoe UI" w:cs="Segoe UI"/>
          <w:color w:val="000000"/>
          <w:sz w:val="22"/>
          <w:lang w:eastAsia="es-CO"/>
        </w:rPr>
        <w:t>Que cumplida la formalidad prevista en el numeral 8 del artículo 8° del Código de Procedimiento Administrativo y de lo Contencioso Administrativo en relación con el texto de la presente resolución, el Director General de la Unidad Administrativa Especial Dirección de Impuestos y Aduanas Nacionales,</w:t>
      </w:r>
    </w:p>
    <w:p w:rsidR="00392DA4" w:rsidRPr="00392DA4" w:rsidRDefault="00392DA4" w:rsidP="00392DA4">
      <w:pPr>
        <w:spacing w:after="0" w:line="240" w:lineRule="auto"/>
        <w:jc w:val="center"/>
        <w:rPr>
          <w:rFonts w:ascii="Arial" w:eastAsia="Times New Roman" w:hAnsi="Arial" w:cs="Arial"/>
          <w:color w:val="000000"/>
          <w:sz w:val="18"/>
          <w:szCs w:val="18"/>
          <w:lang w:eastAsia="es-CO"/>
        </w:rPr>
      </w:pPr>
      <w:r w:rsidRPr="00392DA4">
        <w:rPr>
          <w:rFonts w:ascii="Segoe UI" w:eastAsia="Times New Roman" w:hAnsi="Segoe UI" w:cs="Segoe UI"/>
          <w:color w:val="000000"/>
          <w:sz w:val="22"/>
          <w:lang w:eastAsia="es-CO"/>
        </w:rPr>
        <w:t> </w:t>
      </w:r>
    </w:p>
    <w:p w:rsidR="00392DA4" w:rsidRPr="00392DA4" w:rsidRDefault="00392DA4" w:rsidP="00392DA4">
      <w:pPr>
        <w:spacing w:after="0" w:line="240" w:lineRule="auto"/>
        <w:jc w:val="center"/>
        <w:rPr>
          <w:rFonts w:ascii="Arial" w:eastAsia="Times New Roman" w:hAnsi="Arial" w:cs="Arial"/>
          <w:color w:val="000000"/>
          <w:sz w:val="18"/>
          <w:szCs w:val="18"/>
          <w:lang w:eastAsia="es-CO"/>
        </w:rPr>
      </w:pPr>
      <w:r w:rsidRPr="00392DA4">
        <w:rPr>
          <w:rFonts w:ascii="Segoe UI" w:eastAsia="Times New Roman" w:hAnsi="Segoe UI" w:cs="Segoe UI"/>
          <w:color w:val="000000"/>
          <w:sz w:val="22"/>
          <w:lang w:eastAsia="es-CO"/>
        </w:rPr>
        <w:t> </w:t>
      </w:r>
    </w:p>
    <w:p w:rsidR="00392DA4" w:rsidRPr="00392DA4" w:rsidRDefault="00392DA4" w:rsidP="00392DA4">
      <w:pPr>
        <w:spacing w:after="0" w:line="240" w:lineRule="auto"/>
        <w:jc w:val="center"/>
        <w:rPr>
          <w:rFonts w:ascii="Arial" w:eastAsia="Times New Roman" w:hAnsi="Arial" w:cs="Arial"/>
          <w:color w:val="000000"/>
          <w:sz w:val="18"/>
          <w:szCs w:val="18"/>
          <w:lang w:eastAsia="es-CO"/>
        </w:rPr>
      </w:pPr>
      <w:r w:rsidRPr="00392DA4">
        <w:rPr>
          <w:rFonts w:ascii="Segoe UI" w:eastAsia="Times New Roman" w:hAnsi="Segoe UI" w:cs="Segoe UI"/>
          <w:b/>
          <w:bCs/>
          <w:color w:val="000000"/>
          <w:sz w:val="22"/>
          <w:lang w:eastAsia="es-CO"/>
        </w:rPr>
        <w:t>RESUELVE:</w:t>
      </w:r>
    </w:p>
    <w:p w:rsidR="00392DA4" w:rsidRPr="00392DA4" w:rsidRDefault="00392DA4" w:rsidP="00392DA4">
      <w:pPr>
        <w:spacing w:after="0" w:line="240" w:lineRule="auto"/>
        <w:jc w:val="both"/>
        <w:rPr>
          <w:rFonts w:ascii="Arial" w:eastAsia="Times New Roman" w:hAnsi="Arial" w:cs="Arial"/>
          <w:color w:val="000000"/>
          <w:sz w:val="18"/>
          <w:szCs w:val="18"/>
          <w:lang w:eastAsia="es-CO"/>
        </w:rPr>
      </w:pPr>
      <w:r w:rsidRPr="00392DA4">
        <w:rPr>
          <w:rFonts w:ascii="Segoe UI" w:eastAsia="Times New Roman" w:hAnsi="Segoe UI" w:cs="Segoe UI"/>
          <w:b/>
          <w:bCs/>
          <w:color w:val="000000"/>
          <w:sz w:val="22"/>
          <w:lang w:eastAsia="es-CO"/>
        </w:rPr>
        <w:t> </w:t>
      </w:r>
    </w:p>
    <w:p w:rsidR="00392DA4" w:rsidRPr="00392DA4" w:rsidRDefault="00392DA4" w:rsidP="00392DA4">
      <w:pPr>
        <w:spacing w:after="0" w:line="240" w:lineRule="auto"/>
        <w:jc w:val="both"/>
        <w:rPr>
          <w:rFonts w:ascii="Arial" w:eastAsia="Times New Roman" w:hAnsi="Arial" w:cs="Arial"/>
          <w:color w:val="000000"/>
          <w:sz w:val="18"/>
          <w:szCs w:val="18"/>
          <w:lang w:eastAsia="es-CO"/>
        </w:rPr>
      </w:pPr>
      <w:r w:rsidRPr="00392DA4">
        <w:rPr>
          <w:rFonts w:ascii="Segoe UI" w:eastAsia="Times New Roman" w:hAnsi="Segoe UI" w:cs="Segoe UI"/>
          <w:b/>
          <w:bCs/>
          <w:color w:val="000000"/>
          <w:sz w:val="22"/>
          <w:lang w:eastAsia="es-CO"/>
        </w:rPr>
        <w:t>Artículo 1º.</w:t>
      </w:r>
      <w:r w:rsidRPr="00392DA4">
        <w:rPr>
          <w:rFonts w:ascii="Segoe UI" w:eastAsia="Times New Roman" w:hAnsi="Segoe UI" w:cs="Segoe UI"/>
          <w:color w:val="000000"/>
          <w:sz w:val="22"/>
          <w:lang w:eastAsia="es-CO"/>
        </w:rPr>
        <w:t> Adoptar las reglas y validaciones aplicables a la factura electrónica con validación previa de que trata el </w:t>
      </w:r>
      <w:hyperlink r:id="rId12" w:tooltip="Estatuto Tributario CETA" w:history="1">
        <w:r w:rsidRPr="00392DA4">
          <w:rPr>
            <w:rFonts w:ascii="Segoe UI" w:eastAsia="Times New Roman" w:hAnsi="Segoe UI" w:cs="Segoe UI"/>
            <w:color w:val="0089E1"/>
            <w:sz w:val="22"/>
            <w:u w:val="single"/>
            <w:lang w:eastAsia="es-CO"/>
          </w:rPr>
          <w:t>artículo 616-1</w:t>
        </w:r>
      </w:hyperlink>
      <w:r w:rsidRPr="00392DA4">
        <w:rPr>
          <w:rFonts w:ascii="Segoe UI" w:eastAsia="Times New Roman" w:hAnsi="Segoe UI" w:cs="Segoe UI"/>
          <w:color w:val="000000"/>
          <w:sz w:val="22"/>
          <w:lang w:eastAsia="es-CO"/>
        </w:rPr>
        <w:t> del Estatuto Tributario, contenidas en el Anexo Técnico </w:t>
      </w:r>
      <w:r w:rsidRPr="00392DA4">
        <w:rPr>
          <w:rFonts w:ascii="Segoe UI" w:eastAsia="Times New Roman" w:hAnsi="Segoe UI" w:cs="Segoe UI"/>
          <w:i/>
          <w:iCs/>
          <w:color w:val="000000"/>
          <w:sz w:val="22"/>
          <w:lang w:eastAsia="es-CO"/>
        </w:rPr>
        <w:t>“Estructura UBL y Validaciones Factura Electrónica 2.1” </w:t>
      </w:r>
      <w:r w:rsidRPr="00392DA4">
        <w:rPr>
          <w:rFonts w:ascii="Segoe UI" w:eastAsia="Times New Roman" w:hAnsi="Segoe UI" w:cs="Segoe UI"/>
          <w:color w:val="000000"/>
          <w:sz w:val="22"/>
          <w:lang w:eastAsia="es-CO"/>
        </w:rPr>
        <w:t>que hace parte integral de la presente resolución.</w:t>
      </w:r>
    </w:p>
    <w:p w:rsidR="00392DA4" w:rsidRPr="00392DA4" w:rsidRDefault="00392DA4" w:rsidP="00392DA4">
      <w:pPr>
        <w:spacing w:after="0" w:line="240" w:lineRule="auto"/>
        <w:jc w:val="both"/>
        <w:rPr>
          <w:rFonts w:ascii="Arial" w:eastAsia="Times New Roman" w:hAnsi="Arial" w:cs="Arial"/>
          <w:color w:val="000000"/>
          <w:sz w:val="18"/>
          <w:szCs w:val="18"/>
          <w:lang w:eastAsia="es-CO"/>
        </w:rPr>
      </w:pPr>
      <w:r w:rsidRPr="00392DA4">
        <w:rPr>
          <w:rFonts w:ascii="Segoe UI" w:eastAsia="Times New Roman" w:hAnsi="Segoe UI" w:cs="Segoe UI"/>
          <w:color w:val="000000"/>
          <w:sz w:val="22"/>
          <w:lang w:eastAsia="es-CO"/>
        </w:rPr>
        <w:t> </w:t>
      </w:r>
    </w:p>
    <w:p w:rsidR="00392DA4" w:rsidRPr="00392DA4" w:rsidRDefault="00392DA4" w:rsidP="00392DA4">
      <w:pPr>
        <w:spacing w:after="0" w:line="240" w:lineRule="auto"/>
        <w:jc w:val="both"/>
        <w:rPr>
          <w:rFonts w:ascii="Arial" w:eastAsia="Times New Roman" w:hAnsi="Arial" w:cs="Arial"/>
          <w:color w:val="000000"/>
          <w:sz w:val="18"/>
          <w:szCs w:val="18"/>
          <w:lang w:eastAsia="es-CO"/>
        </w:rPr>
      </w:pPr>
      <w:r w:rsidRPr="00392DA4">
        <w:rPr>
          <w:rFonts w:ascii="Segoe UI" w:eastAsia="Times New Roman" w:hAnsi="Segoe UI" w:cs="Segoe UI"/>
          <w:b/>
          <w:bCs/>
          <w:color w:val="000000"/>
          <w:sz w:val="22"/>
          <w:lang w:eastAsia="es-CO"/>
        </w:rPr>
        <w:t>Artículo 2º.</w:t>
      </w:r>
      <w:r w:rsidRPr="00392DA4">
        <w:rPr>
          <w:rFonts w:ascii="Segoe UI" w:eastAsia="Times New Roman" w:hAnsi="Segoe UI" w:cs="Segoe UI"/>
          <w:color w:val="000000"/>
          <w:sz w:val="22"/>
          <w:lang w:eastAsia="es-CO"/>
        </w:rPr>
        <w:t> </w:t>
      </w:r>
      <w:r w:rsidRPr="00392DA4">
        <w:rPr>
          <w:rFonts w:ascii="Segoe UI" w:eastAsia="Times New Roman" w:hAnsi="Segoe UI" w:cs="Segoe UI"/>
          <w:i/>
          <w:iCs/>
          <w:color w:val="000000"/>
          <w:sz w:val="22"/>
          <w:lang w:eastAsia="es-CO"/>
        </w:rPr>
        <w:t>Vigencia</w:t>
      </w:r>
      <w:r w:rsidRPr="00392DA4">
        <w:rPr>
          <w:rFonts w:ascii="Segoe UI" w:eastAsia="Times New Roman" w:hAnsi="Segoe UI" w:cs="Segoe UI"/>
          <w:color w:val="000000"/>
          <w:sz w:val="22"/>
          <w:lang w:eastAsia="es-CO"/>
        </w:rPr>
        <w:t>. La presente resolución rige a partir de la fecha en la que entre en vigencia la factura electrónica con validación previa de que trata el </w:t>
      </w:r>
      <w:hyperlink r:id="rId13" w:tooltip="Estatuto Tributario CETA" w:history="1">
        <w:r w:rsidRPr="00392DA4">
          <w:rPr>
            <w:rFonts w:ascii="Segoe UI" w:eastAsia="Times New Roman" w:hAnsi="Segoe UI" w:cs="Segoe UI"/>
            <w:color w:val="0089E1"/>
            <w:sz w:val="22"/>
            <w:u w:val="single"/>
            <w:lang w:eastAsia="es-CO"/>
          </w:rPr>
          <w:t>artículo 616-1</w:t>
        </w:r>
      </w:hyperlink>
      <w:r w:rsidRPr="00392DA4">
        <w:rPr>
          <w:rFonts w:ascii="Segoe UI" w:eastAsia="Times New Roman" w:hAnsi="Segoe UI" w:cs="Segoe UI"/>
          <w:color w:val="000000"/>
          <w:sz w:val="22"/>
          <w:lang w:eastAsia="es-CO"/>
        </w:rPr>
        <w:t> del Estatuto Tributario.</w:t>
      </w:r>
    </w:p>
    <w:p w:rsidR="00392DA4" w:rsidRPr="00392DA4" w:rsidRDefault="00392DA4" w:rsidP="00392DA4">
      <w:pPr>
        <w:spacing w:after="0" w:line="240" w:lineRule="auto"/>
        <w:jc w:val="both"/>
        <w:rPr>
          <w:rFonts w:ascii="Arial" w:eastAsia="Times New Roman" w:hAnsi="Arial" w:cs="Arial"/>
          <w:color w:val="000000"/>
          <w:sz w:val="18"/>
          <w:szCs w:val="18"/>
          <w:lang w:eastAsia="es-CO"/>
        </w:rPr>
      </w:pPr>
      <w:r w:rsidRPr="00392DA4">
        <w:rPr>
          <w:rFonts w:ascii="Segoe UI" w:eastAsia="Times New Roman" w:hAnsi="Segoe UI" w:cs="Segoe UI"/>
          <w:color w:val="000000"/>
          <w:sz w:val="22"/>
          <w:lang w:eastAsia="es-CO"/>
        </w:rPr>
        <w:t> </w:t>
      </w:r>
    </w:p>
    <w:p w:rsidR="00392DA4" w:rsidRPr="00392DA4" w:rsidRDefault="00392DA4" w:rsidP="00392DA4">
      <w:pPr>
        <w:spacing w:after="0" w:line="240" w:lineRule="auto"/>
        <w:jc w:val="both"/>
        <w:rPr>
          <w:rFonts w:ascii="Arial" w:eastAsia="Times New Roman" w:hAnsi="Arial" w:cs="Arial"/>
          <w:color w:val="000000"/>
          <w:sz w:val="18"/>
          <w:szCs w:val="18"/>
          <w:lang w:eastAsia="es-CO"/>
        </w:rPr>
      </w:pPr>
      <w:r w:rsidRPr="00392DA4">
        <w:rPr>
          <w:rFonts w:ascii="Segoe UI" w:eastAsia="Times New Roman" w:hAnsi="Segoe UI" w:cs="Segoe UI"/>
          <w:b/>
          <w:bCs/>
          <w:color w:val="000000"/>
          <w:sz w:val="22"/>
          <w:lang w:eastAsia="es-CO"/>
        </w:rPr>
        <w:t>Publíquese y cúmplase.</w:t>
      </w:r>
    </w:p>
    <w:p w:rsidR="00392DA4" w:rsidRPr="00392DA4" w:rsidRDefault="00392DA4" w:rsidP="00392DA4">
      <w:pPr>
        <w:spacing w:after="0" w:line="240" w:lineRule="auto"/>
        <w:jc w:val="both"/>
        <w:rPr>
          <w:rFonts w:ascii="Arial" w:eastAsia="Times New Roman" w:hAnsi="Arial" w:cs="Arial"/>
          <w:color w:val="000000"/>
          <w:sz w:val="18"/>
          <w:szCs w:val="18"/>
          <w:lang w:eastAsia="es-CO"/>
        </w:rPr>
      </w:pPr>
      <w:r w:rsidRPr="00392DA4">
        <w:rPr>
          <w:rFonts w:ascii="Segoe UI" w:eastAsia="Times New Roman" w:hAnsi="Segoe UI" w:cs="Segoe UI"/>
          <w:color w:val="000000"/>
          <w:sz w:val="22"/>
          <w:lang w:eastAsia="es-CO"/>
        </w:rPr>
        <w:t>Dada en Bogotá, D. C., a 3 de enero de 2019.</w:t>
      </w:r>
    </w:p>
    <w:p w:rsidR="00392DA4" w:rsidRPr="00392DA4" w:rsidRDefault="00392DA4" w:rsidP="00392DA4">
      <w:pPr>
        <w:spacing w:after="0" w:line="240" w:lineRule="auto"/>
        <w:jc w:val="both"/>
        <w:rPr>
          <w:rFonts w:ascii="Arial" w:eastAsia="Times New Roman" w:hAnsi="Arial" w:cs="Arial"/>
          <w:color w:val="000000"/>
          <w:sz w:val="18"/>
          <w:szCs w:val="18"/>
          <w:lang w:eastAsia="es-CO"/>
        </w:rPr>
      </w:pPr>
      <w:r w:rsidRPr="00392DA4">
        <w:rPr>
          <w:rFonts w:ascii="Segoe UI" w:eastAsia="Times New Roman" w:hAnsi="Segoe UI" w:cs="Segoe UI"/>
          <w:color w:val="000000"/>
          <w:sz w:val="22"/>
          <w:lang w:eastAsia="es-CO"/>
        </w:rPr>
        <w:t> </w:t>
      </w:r>
    </w:p>
    <w:p w:rsidR="00392DA4" w:rsidRPr="00392DA4" w:rsidRDefault="00392DA4" w:rsidP="00392DA4">
      <w:pPr>
        <w:spacing w:after="0" w:line="240" w:lineRule="auto"/>
        <w:jc w:val="both"/>
        <w:rPr>
          <w:rFonts w:ascii="Arial" w:eastAsia="Times New Roman" w:hAnsi="Arial" w:cs="Arial"/>
          <w:color w:val="000000"/>
          <w:sz w:val="18"/>
          <w:szCs w:val="18"/>
          <w:lang w:eastAsia="es-CO"/>
        </w:rPr>
      </w:pPr>
      <w:r w:rsidRPr="00392DA4">
        <w:rPr>
          <w:rFonts w:ascii="Segoe UI" w:eastAsia="Times New Roman" w:hAnsi="Segoe UI" w:cs="Segoe UI"/>
          <w:color w:val="000000"/>
          <w:sz w:val="22"/>
          <w:lang w:eastAsia="es-CO"/>
        </w:rPr>
        <w:t> </w:t>
      </w:r>
    </w:p>
    <w:p w:rsidR="00392DA4" w:rsidRPr="00392DA4" w:rsidRDefault="00392DA4" w:rsidP="00392DA4">
      <w:pPr>
        <w:spacing w:after="0" w:line="240" w:lineRule="auto"/>
        <w:jc w:val="both"/>
        <w:rPr>
          <w:rFonts w:ascii="Arial" w:eastAsia="Times New Roman" w:hAnsi="Arial" w:cs="Arial"/>
          <w:color w:val="000000"/>
          <w:sz w:val="18"/>
          <w:szCs w:val="18"/>
          <w:lang w:eastAsia="es-CO"/>
        </w:rPr>
      </w:pPr>
      <w:r w:rsidRPr="00392DA4">
        <w:rPr>
          <w:rFonts w:ascii="Segoe UI" w:eastAsia="Times New Roman" w:hAnsi="Segoe UI" w:cs="Segoe UI"/>
          <w:b/>
          <w:bCs/>
          <w:color w:val="000000"/>
          <w:sz w:val="22"/>
          <w:lang w:eastAsia="es-CO"/>
        </w:rPr>
        <w:lastRenderedPageBreak/>
        <w:t>La Directora General (E),</w:t>
      </w:r>
    </w:p>
    <w:p w:rsidR="00392DA4" w:rsidRPr="00392DA4" w:rsidRDefault="00392DA4" w:rsidP="00392DA4">
      <w:pPr>
        <w:spacing w:after="0" w:line="240" w:lineRule="auto"/>
        <w:jc w:val="right"/>
        <w:rPr>
          <w:rFonts w:ascii="Arial" w:eastAsia="Times New Roman" w:hAnsi="Arial" w:cs="Arial"/>
          <w:color w:val="000000"/>
          <w:sz w:val="18"/>
          <w:szCs w:val="18"/>
          <w:lang w:eastAsia="es-CO"/>
        </w:rPr>
      </w:pPr>
      <w:r w:rsidRPr="00392DA4">
        <w:rPr>
          <w:rFonts w:ascii="Segoe UI" w:eastAsia="Times New Roman" w:hAnsi="Segoe UI" w:cs="Segoe UI"/>
          <w:b/>
          <w:bCs/>
          <w:i/>
          <w:iCs/>
          <w:color w:val="000000"/>
          <w:sz w:val="18"/>
          <w:szCs w:val="18"/>
          <w:lang w:eastAsia="es-CO"/>
        </w:rPr>
        <w:t> </w:t>
      </w:r>
    </w:p>
    <w:p w:rsidR="00392DA4" w:rsidRPr="00392DA4" w:rsidRDefault="00392DA4" w:rsidP="00392DA4">
      <w:pPr>
        <w:spacing w:after="0" w:line="240" w:lineRule="auto"/>
        <w:jc w:val="both"/>
        <w:rPr>
          <w:rFonts w:ascii="Arial" w:eastAsia="Times New Roman" w:hAnsi="Arial" w:cs="Arial"/>
          <w:color w:val="000000"/>
          <w:sz w:val="18"/>
          <w:szCs w:val="18"/>
          <w:lang w:eastAsia="es-CO"/>
        </w:rPr>
      </w:pPr>
      <w:r w:rsidRPr="00392DA4">
        <w:rPr>
          <w:rFonts w:ascii="Segoe UI" w:eastAsia="Times New Roman" w:hAnsi="Segoe UI" w:cs="Segoe UI"/>
          <w:i/>
          <w:iCs/>
          <w:color w:val="000000"/>
          <w:sz w:val="18"/>
          <w:szCs w:val="18"/>
          <w:lang w:eastAsia="es-CO"/>
        </w:rPr>
        <w:t xml:space="preserve">Gabriela Barriga </w:t>
      </w:r>
      <w:proofErr w:type="spellStart"/>
      <w:r w:rsidRPr="00392DA4">
        <w:rPr>
          <w:rFonts w:ascii="Segoe UI" w:eastAsia="Times New Roman" w:hAnsi="Segoe UI" w:cs="Segoe UI"/>
          <w:i/>
          <w:iCs/>
          <w:color w:val="000000"/>
          <w:sz w:val="18"/>
          <w:szCs w:val="18"/>
          <w:lang w:eastAsia="es-CO"/>
        </w:rPr>
        <w:t>Lesmes</w:t>
      </w:r>
      <w:proofErr w:type="spellEnd"/>
      <w:r w:rsidRPr="00392DA4">
        <w:rPr>
          <w:rFonts w:ascii="Segoe UI" w:eastAsia="Times New Roman" w:hAnsi="Segoe UI" w:cs="Segoe UI"/>
          <w:i/>
          <w:iCs/>
          <w:color w:val="000000"/>
          <w:sz w:val="18"/>
          <w:szCs w:val="18"/>
          <w:lang w:eastAsia="es-CO"/>
        </w:rPr>
        <w:t>.</w:t>
      </w:r>
    </w:p>
    <w:p w:rsidR="00392DA4" w:rsidRPr="00392DA4" w:rsidRDefault="00392DA4" w:rsidP="00392DA4">
      <w:pPr>
        <w:spacing w:after="0" w:line="240" w:lineRule="auto"/>
        <w:jc w:val="both"/>
        <w:rPr>
          <w:rFonts w:ascii="Arial" w:eastAsia="Times New Roman" w:hAnsi="Arial" w:cs="Arial"/>
          <w:color w:val="000000"/>
          <w:sz w:val="18"/>
          <w:szCs w:val="18"/>
          <w:lang w:eastAsia="es-CO"/>
        </w:rPr>
      </w:pPr>
      <w:r w:rsidRPr="00392DA4">
        <w:rPr>
          <w:rFonts w:ascii="Segoe UI" w:eastAsia="Times New Roman" w:hAnsi="Segoe UI" w:cs="Segoe UI"/>
          <w:i/>
          <w:iCs/>
          <w:color w:val="000000"/>
          <w:sz w:val="18"/>
          <w:szCs w:val="18"/>
          <w:lang w:eastAsia="es-CO"/>
        </w:rPr>
        <w:t> </w:t>
      </w:r>
    </w:p>
    <w:p w:rsidR="00392DA4" w:rsidRPr="00392DA4" w:rsidRDefault="00392DA4" w:rsidP="00392DA4">
      <w:pPr>
        <w:spacing w:after="0" w:line="240" w:lineRule="auto"/>
        <w:jc w:val="both"/>
        <w:rPr>
          <w:rFonts w:ascii="Arial" w:eastAsia="Times New Roman" w:hAnsi="Arial" w:cs="Arial"/>
          <w:color w:val="000000"/>
          <w:sz w:val="18"/>
          <w:szCs w:val="18"/>
          <w:lang w:eastAsia="es-CO"/>
        </w:rPr>
      </w:pPr>
      <w:r w:rsidRPr="00392DA4">
        <w:rPr>
          <w:rFonts w:ascii="Segoe UI" w:eastAsia="Times New Roman" w:hAnsi="Segoe UI" w:cs="Segoe UI"/>
          <w:i/>
          <w:iCs/>
          <w:color w:val="000000"/>
          <w:sz w:val="18"/>
          <w:szCs w:val="18"/>
          <w:lang w:eastAsia="es-CO"/>
        </w:rPr>
        <w:t> </w:t>
      </w:r>
    </w:p>
    <w:p w:rsidR="00392DA4" w:rsidRPr="00392DA4" w:rsidRDefault="00392DA4" w:rsidP="00392DA4">
      <w:pPr>
        <w:spacing w:after="0" w:line="240" w:lineRule="auto"/>
        <w:jc w:val="both"/>
        <w:rPr>
          <w:rFonts w:ascii="Arial" w:eastAsia="Times New Roman" w:hAnsi="Arial" w:cs="Arial"/>
          <w:color w:val="000000"/>
          <w:sz w:val="18"/>
          <w:szCs w:val="18"/>
          <w:lang w:eastAsia="es-CO"/>
        </w:rPr>
      </w:pPr>
      <w:r w:rsidRPr="00392DA4">
        <w:rPr>
          <w:rFonts w:ascii="Segoe UI" w:eastAsia="Times New Roman" w:hAnsi="Segoe UI" w:cs="Segoe UI"/>
          <w:b/>
          <w:bCs/>
          <w:color w:val="000000"/>
          <w:sz w:val="20"/>
          <w:szCs w:val="20"/>
          <w:lang w:eastAsia="es-CO"/>
        </w:rPr>
        <w:t>Publicada en D.O. 50.833 del 11 de enero de 2019.</w:t>
      </w:r>
    </w:p>
    <w:p w:rsidR="00392DA4" w:rsidRPr="00392DA4" w:rsidRDefault="00392DA4" w:rsidP="00392DA4">
      <w:pPr>
        <w:spacing w:after="285" w:line="240" w:lineRule="auto"/>
        <w:jc w:val="both"/>
        <w:rPr>
          <w:rFonts w:ascii="Arial" w:eastAsia="Times New Roman" w:hAnsi="Arial" w:cs="Arial"/>
          <w:color w:val="000000"/>
          <w:sz w:val="18"/>
          <w:szCs w:val="18"/>
          <w:lang w:eastAsia="es-CO"/>
        </w:rPr>
      </w:pPr>
      <w:r w:rsidRPr="00392DA4">
        <w:rPr>
          <w:rFonts w:ascii="Arial" w:eastAsia="Times New Roman" w:hAnsi="Arial" w:cs="Arial"/>
          <w:color w:val="000000"/>
          <w:sz w:val="18"/>
          <w:szCs w:val="18"/>
          <w:lang w:eastAsia="es-CO"/>
        </w:rPr>
        <w:t> </w:t>
      </w:r>
    </w:p>
    <w:p w:rsidR="00730617" w:rsidRDefault="00730617"/>
    <w:sectPr w:rsidR="007306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A4"/>
    <w:rsid w:val="00392DA4"/>
    <w:rsid w:val="007306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37BAF"/>
  <w15:chartTrackingRefBased/>
  <w15:docId w15:val="{C63BC527-2B97-4941-A320-5F722FBC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5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758" TargetMode="External"/><Relationship Id="rId13" Type="http://schemas.openxmlformats.org/officeDocument/2006/relationships/hyperlink" Target="https://www.ceta.org.co/html/vista_de_un_articulo.asp?Norma=758"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853" TargetMode="External"/><Relationship Id="rId12" Type="http://schemas.openxmlformats.org/officeDocument/2006/relationships/hyperlink" Target="https://www.ceta.org.co/html/vista_de_un_articulo.asp?Norma=75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853" TargetMode="External"/><Relationship Id="rId11" Type="http://schemas.openxmlformats.org/officeDocument/2006/relationships/hyperlink" Target="https://www.ceta.org.co/html/vista_de_un_articulo.asp?Norma=758" TargetMode="External"/><Relationship Id="rId5" Type="http://schemas.openxmlformats.org/officeDocument/2006/relationships/hyperlink" Target="https://www.ceta.org.co/html/vista_de_un_articulo.asp?Norma=758" TargetMode="External"/><Relationship Id="rId15" Type="http://schemas.openxmlformats.org/officeDocument/2006/relationships/theme" Target="theme/theme1.xml"/><Relationship Id="rId10" Type="http://schemas.openxmlformats.org/officeDocument/2006/relationships/hyperlink" Target="https://www.ceta.org.co/html/vista_de_un_articulo.asp?Norma=758" TargetMode="External"/><Relationship Id="rId4" Type="http://schemas.openxmlformats.org/officeDocument/2006/relationships/hyperlink" Target="https://www.ceta.org.co/html/vista_de_un_articulo.asp?Norma=758" TargetMode="External"/><Relationship Id="rId9" Type="http://schemas.openxmlformats.org/officeDocument/2006/relationships/hyperlink" Target="https://www.ceta.org.co/html/vista_de_un_articulo.asp?Norma=758"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908</Words>
  <Characters>4994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2019-01-18T00:14:00Z</dcterms:created>
  <dcterms:modified xsi:type="dcterms:W3CDTF">2019-01-18T00:18:00Z</dcterms:modified>
</cp:coreProperties>
</file>